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生成AI利用ガイドライン</w:t>
      </w:r>
    </w:p>
    <w:p>
      <w:r>
        <w:rPr>
          <w:b w:val="0"/>
          <w:color w:val="4A5568"/>
        </w:rPr>
        <w:t>［　　　　］株式会社　制定日：［　　　　］年［　　　　］月［　　　　］日　所管：［　　　　］部</w:t>
      </w:r>
    </w:p>
    <w:p>
      <w:r>
        <w:rPr>
          <w:b w:val="0"/>
          <w:color w:val="4A5568"/>
        </w:rPr>
        <w:t>※ このひな形の［　　］は、自社の内容に置き換えてください。条文の例は、自社の就業規則・情報セキュリティ規程・個人情報保護の規程と照らし合わせ、重なる部分は参照の形に直してお使いください。法令に関わる判断は、弁護士などの専門家に確かめていただくと安心です。</w:t>
      </w:r>
    </w:p>
    <w:p>
      <w:pPr>
        <w:pStyle w:val="Heading2"/>
      </w:pPr>
      <w:r>
        <w:t>第1条　目的</w:t>
      </w:r>
    </w:p>
    <w:p>
      <w:r>
        <w:rPr>
          <w:b w:val="0"/>
        </w:rPr>
        <w:t>本ガイドラインは、［　　　　］株式会社（以下「当社」といいます）の業務において、生成AIを安全かつ効果的に使い、業務の質と効率を高めるために、利用の範囲と守ることを定めます。</w:t>
      </w:r>
    </w:p>
    <w:p>
      <w:pPr>
        <w:pStyle w:val="Heading2"/>
      </w:pPr>
      <w:r>
        <w:t>第2条　適用範囲</w:t>
      </w:r>
    </w:p>
    <w:p>
      <w:r>
        <w:rPr>
          <w:b w:val="0"/>
        </w:rPr>
        <w:t>1　本ガイドラインは、当社の役員、社員、契約社員、派遣社員［　　　　］（以下「利用者」といいます）に適用します。</w:t>
      </w:r>
    </w:p>
    <w:p>
      <w:r>
        <w:rPr>
          <w:b w:val="0"/>
        </w:rPr>
        <w:t>2　当社の業務を行う業務委託先が生成AIを使う場合は、契約または発注の条件で本ガイドラインに準じた扱いを求めます。</w:t>
      </w:r>
    </w:p>
    <w:p>
      <w:r>
        <w:rPr>
          <w:b w:val="0"/>
        </w:rPr>
        <w:t>3　本ガイドラインは、業務での生成AIの利用に適用します。私物の端末で業務の情報を扱う場合も対象とします（私物の端末での業務利用を［　　　　］認める／認めない）。</w:t>
      </w:r>
    </w:p>
    <w:p>
      <w:pPr>
        <w:pStyle w:val="Heading2"/>
      </w:pPr>
      <w:r>
        <w:t>第3条　用語の定義</w:t>
      </w:r>
    </w:p>
    <w:p>
      <w:r>
        <w:rPr>
          <w:b w:val="0"/>
        </w:rPr>
        <w:t>本ガイドラインで使う用語の意味は、次のとおりとします。</w:t>
      </w:r>
    </w:p>
    <w:p>
      <w:r>
        <w:rPr>
          <w:b w:val="0"/>
        </w:rPr>
        <w:t>（1）生成AI：指示に応じて、文章・画像・音声・プログラムなどを作るAIの仕組みやサービス</w:t>
      </w:r>
    </w:p>
    <w:p>
      <w:r>
        <w:rPr>
          <w:b w:val="0"/>
        </w:rPr>
        <w:t>（2）プロンプト：生成AIに入力する指示文や、あわせて渡す資料・データ</w:t>
      </w:r>
    </w:p>
    <w:p>
      <w:r>
        <w:rPr>
          <w:b w:val="0"/>
        </w:rPr>
        <w:t>（3）生成物：生成AIが出力した文章・画像・音声・プログラムなど</w:t>
      </w:r>
    </w:p>
    <w:p>
      <w:r>
        <w:rPr>
          <w:b w:val="0"/>
        </w:rPr>
        <w:t>（4）承認済みツール：第4条の手続きを経て、別紙2に記載した生成AIのツール</w:t>
      </w:r>
    </w:p>
    <w:p>
      <w:r>
        <w:rPr>
          <w:b w:val="0"/>
        </w:rPr>
        <w:t>（5）［　　　　］：［　　　　］</w:t>
      </w:r>
    </w:p>
    <w:p>
      <w:pPr>
        <w:pStyle w:val="Heading2"/>
      </w:pPr>
      <w:r>
        <w:t>第4条　利用できるツールと承認の手続き</w:t>
      </w:r>
    </w:p>
    <w:p>
      <w:r>
        <w:rPr>
          <w:b w:val="0"/>
        </w:rPr>
        <w:t>1　利用者が業務で使える生成AIは、別紙2の承認済みツールに限ります。</w:t>
      </w:r>
    </w:p>
    <w:p>
      <w:r>
        <w:rPr>
          <w:b w:val="0"/>
        </w:rPr>
        <w:t>2　別紙2にないツールを業務で使う場合は、［　　　　］部へ申請し、承認を得てから使います。承認の目安は、入力内容が学習に使われない設定ができること、会社のアカウントで管理できること、多要素認証が使えること、［　　　　］とします。</w:t>
      </w:r>
    </w:p>
    <w:p>
      <w:r>
        <w:rPr>
          <w:b w:val="0"/>
        </w:rPr>
        <w:t>3　［　　　　］部は、申請を受けてから［　　　　］営業日を目安に結果を伝えます。</w:t>
      </w:r>
    </w:p>
    <w:p>
      <w:r>
        <w:rPr>
          <w:b w:val="0"/>
        </w:rPr>
        <w:t>4　［　　　　］部は、承認済みツールの設定と利用規約を［　　　　］ごとに確かめ、変更があれば別紙2を更新します。</w:t>
      </w:r>
    </w:p>
    <w:p>
      <w:pPr>
        <w:pStyle w:val="Heading2"/>
      </w:pPr>
      <w:r>
        <w:t>第5条　入力してはいけない情報</w:t>
      </w:r>
    </w:p>
    <w:p>
      <w:r>
        <w:rPr>
          <w:b w:val="0"/>
        </w:rPr>
        <w:t>1　生成AIに入力する情報は、別紙1の区分（入力してよい／条件付き／入力しない）に従います。</w:t>
      </w:r>
    </w:p>
    <w:p>
      <w:r>
        <w:rPr>
          <w:b w:val="0"/>
        </w:rPr>
        <w:t>2　次の情報は、承認済みツールであっても入力しません。</w:t>
      </w:r>
    </w:p>
    <w:p>
      <w:r>
        <w:rPr>
          <w:b w:val="0"/>
        </w:rPr>
        <w:t>（1）お客様・取引先の個人情報（第8条で認める場合を除きます）</w:t>
      </w:r>
    </w:p>
    <w:p>
      <w:r>
        <w:rPr>
          <w:b w:val="0"/>
        </w:rPr>
        <w:t>（2）秘密保持契約などで預かった他社の秘密情報</w:t>
      </w:r>
    </w:p>
    <w:p>
      <w:r>
        <w:rPr>
          <w:b w:val="0"/>
        </w:rPr>
        <w:t>（3）未公表の決算、M&amp;A、人事、価格などの情報</w:t>
      </w:r>
    </w:p>
    <w:p>
      <w:r>
        <w:rPr>
          <w:b w:val="0"/>
        </w:rPr>
        <w:t>（4）パスワード、アクセスキーなどの認証情報</w:t>
      </w:r>
    </w:p>
    <w:p>
      <w:r>
        <w:rPr>
          <w:b w:val="0"/>
        </w:rPr>
        <w:t>（5）［　　　　］</w:t>
      </w:r>
    </w:p>
    <w:p>
      <w:r>
        <w:rPr>
          <w:b w:val="0"/>
        </w:rPr>
        <w:t>3　区分の判断に迷う場合は、入力せずに第11条の相談窓口に確かめます。</w:t>
      </w:r>
    </w:p>
    <w:p>
      <w:pPr>
        <w:pStyle w:val="Heading2"/>
      </w:pPr>
      <w:r>
        <w:t>第6条　生成物の確認と責任</w:t>
      </w:r>
    </w:p>
    <w:p>
      <w:r>
        <w:rPr>
          <w:b w:val="0"/>
        </w:rPr>
        <w:t>1　生成物には、事実と違う内容がもっともらしく含まれることがあります。生成物を使った結果の責任は、使った利用者とその所属部署が負います。</w:t>
      </w:r>
    </w:p>
    <w:p>
      <w:r>
        <w:rPr>
          <w:b w:val="0"/>
        </w:rPr>
        <w:t>2　社外に出すもの、契約や判断に使うものは、別紙3の確認チェック表に沿って人が内容を確かめてから使います。数字、固有名詞、日付、法令の記載は確認の対象とします。</w:t>
      </w:r>
    </w:p>
    <w:p>
      <w:r>
        <w:rPr>
          <w:b w:val="0"/>
        </w:rPr>
        <w:t>3　生成AIが自動で操作まで行う使い方（AIエージェントなど）を認める場合は、［　　　　］などの操作について、人の承認を得てから実行する設定にします。</w:t>
      </w:r>
    </w:p>
    <w:p>
      <w:pPr>
        <w:pStyle w:val="Heading2"/>
      </w:pPr>
      <w:r>
        <w:t>第7条　著作権その他の権利の尊重</w:t>
      </w:r>
    </w:p>
    <w:p>
      <w:r>
        <w:rPr>
          <w:b w:val="0"/>
        </w:rPr>
        <w:t>1　生成物を社外に出す前に、既存の作品と似ていないかを検索などで確かめます。</w:t>
      </w:r>
    </w:p>
    <w:p>
      <w:r>
        <w:rPr>
          <w:b w:val="0"/>
        </w:rPr>
        <w:t>2　特定の作品名、作家名、キャラクター名などを指定して、似たものを作らせることはしません。</w:t>
      </w:r>
    </w:p>
    <w:p>
      <w:r>
        <w:rPr>
          <w:b w:val="0"/>
        </w:rPr>
        <w:t>3　他人の著作物をプロンプトとして入力する場合は、ツールの利用規約と、著作物の利用の条件を確かめます。</w:t>
      </w:r>
    </w:p>
    <w:p>
      <w:r>
        <w:rPr>
          <w:b w:val="0"/>
        </w:rPr>
        <w:t>4　社外に出す生成物は、どのような指示で生成したかを第10条に沿って記録します。</w:t>
      </w:r>
    </w:p>
    <w:p>
      <w:r>
        <w:rPr>
          <w:b w:val="0"/>
        </w:rPr>
        <w:t>5　商標、肖像、他社の営業秘密など、著作権以外の権利にも配慮します。</w:t>
      </w:r>
    </w:p>
    <w:p>
      <w:pPr>
        <w:pStyle w:val="Heading2"/>
      </w:pPr>
      <w:r>
        <w:t>第8条　個人情報の取扱い</w:t>
      </w:r>
    </w:p>
    <w:p>
      <w:r>
        <w:rPr>
          <w:b w:val="0"/>
        </w:rPr>
        <w:t>1　個人情報は、原則として生成AIに入力しません。</w:t>
      </w:r>
    </w:p>
    <w:p>
      <w:r>
        <w:rPr>
          <w:b w:val="0"/>
        </w:rPr>
        <w:t>2　業務上必要な場合は、利用目的の範囲内であること、入力内容が学習に使われない設定の承認済みツールであることを［　　　　］部が確かめたうえで、入力を認めます。</w:t>
      </w:r>
    </w:p>
    <w:p>
      <w:r>
        <w:rPr>
          <w:b w:val="0"/>
        </w:rPr>
        <w:t>3　個人情報の取扱いは、本ガイドラインのほか、当社の［　　　　］規程に従います。</w:t>
      </w:r>
    </w:p>
    <w:p>
      <w:pPr>
        <w:pStyle w:val="Heading2"/>
      </w:pPr>
      <w:r>
        <w:t>第9条　お客様・取引先への説明</w:t>
      </w:r>
    </w:p>
    <w:p>
      <w:r>
        <w:rPr>
          <w:b w:val="0"/>
        </w:rPr>
        <w:t>1　チャットでの自動応答など、相手がAIと話していると気づきにくい場面では、AIによる応答であることを示します。</w:t>
      </w:r>
    </w:p>
    <w:p>
      <w:r>
        <w:rPr>
          <w:b w:val="0"/>
        </w:rPr>
        <w:t>2　取引先との契約でAIの利用に条件がある場合は、その条件に従います。営業・法務の手順に、契約の確認を［　　　　］の段階で行うことを含めます。</w:t>
      </w:r>
    </w:p>
    <w:p>
      <w:r>
        <w:rPr>
          <w:b w:val="0"/>
        </w:rPr>
        <w:t>3　お客様に出す資料や回答で生成AIを使ったことをどこまで説明するかは、［　　　　］とします。</w:t>
      </w:r>
    </w:p>
    <w:p>
      <w:pPr>
        <w:pStyle w:val="Heading2"/>
      </w:pPr>
      <w:r>
        <w:t>第10条　記録と保存</w:t>
      </w:r>
    </w:p>
    <w:p>
      <w:r>
        <w:rPr>
          <w:b w:val="0"/>
        </w:rPr>
        <w:t>1　［　　　　］部は、承認済みツールの利用者一覧と、第4条の承認の記録を保存します。</w:t>
      </w:r>
    </w:p>
    <w:p>
      <w:r>
        <w:rPr>
          <w:b w:val="0"/>
        </w:rPr>
        <w:t>2　社外に出した生成物については、使ったツール、プロンプトの要旨、確認者、確認日を記録します。</w:t>
      </w:r>
    </w:p>
    <w:p>
      <w:r>
        <w:rPr>
          <w:b w:val="0"/>
        </w:rPr>
        <w:t>3　記録の保存期間は［　　　　］年とします。</w:t>
      </w:r>
    </w:p>
    <w:p>
      <w:pPr>
        <w:pStyle w:val="Heading2"/>
      </w:pPr>
      <w:r>
        <w:t>第11条　相談窓口と問題が起きたときの対応</w:t>
      </w:r>
    </w:p>
    <w:p>
      <w:r>
        <w:rPr>
          <w:b w:val="0"/>
        </w:rPr>
        <w:t>1　生成AIの利用に関する相談窓口は［　　　　］部（連絡方法：［　　　　］）とします。</w:t>
      </w:r>
    </w:p>
    <w:p>
      <w:r>
        <w:rPr>
          <w:b w:val="0"/>
        </w:rPr>
        <w:t>2　入力してはいけない情報を入力したこと、生成物の誤りによる問題などに気づいた場合は、速やかに［　　　　］部へ報告します。速やかな報告を理由に、不利益な扱いはしません。</w:t>
      </w:r>
    </w:p>
    <w:p>
      <w:r>
        <w:rPr>
          <w:b w:val="0"/>
        </w:rPr>
        <w:t>3　報告を受けた部署は、必要に応じて利用の停止、影響の確認、関係者への連絡、再発防止の対策を行います。</w:t>
      </w:r>
    </w:p>
    <w:p>
      <w:pPr>
        <w:pStyle w:val="Heading2"/>
      </w:pPr>
      <w:r>
        <w:t>第12条　教育</w:t>
      </w:r>
    </w:p>
    <w:p>
      <w:r>
        <w:rPr>
          <w:b w:val="0"/>
        </w:rPr>
        <w:t>1　利用者は、承認済みツールを使い始める前に、本ガイドラインの説明を受けます。</w:t>
      </w:r>
    </w:p>
    <w:p>
      <w:r>
        <w:rPr>
          <w:b w:val="0"/>
        </w:rPr>
        <w:t>2　［　　　　］部は、［　　　　］ごとに、本ガイドラインの内容と事例を共有する機会を設けます。</w:t>
      </w:r>
    </w:p>
    <w:p>
      <w:pPr>
        <w:pStyle w:val="Heading2"/>
      </w:pPr>
      <w:r>
        <w:t>第13条　見直し</w:t>
      </w:r>
    </w:p>
    <w:p>
      <w:r>
        <w:rPr>
          <w:b w:val="0"/>
        </w:rPr>
        <w:t>1　［　　　　］部は、［　　　　］ごと、または関係する法令・指針・承認済みツールに大きな変更があったときに、本ガイドラインと別紙を見直します。</w:t>
      </w:r>
    </w:p>
    <w:p>
      <w:r>
        <w:rPr>
          <w:b w:val="0"/>
        </w:rPr>
        <w:t>2　本ガイドラインの改定は［　　　　］が承認します。別紙の更新は［　　　　］部が行い、改定履歴に記録します。</w:t>
      </w:r>
    </w:p>
    <w:p>
      <w:pPr>
        <w:pStyle w:val="Heading2"/>
      </w:pPr>
      <w:r>
        <w:t>附則</w:t>
      </w:r>
    </w:p>
    <w:p>
      <w:r>
        <w:rPr>
          <w:b w:val="0"/>
        </w:rPr>
        <w:t>本ガイドラインは、［　　　　］年［　　　　］月［　　　　］日から施行します。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1020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版</w:t>
            </w:r>
          </w:p>
        </w:tc>
        <w:tc>
          <w:tcPr>
            <w:tcW w:type="dxa" w:w="170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日付</w:t>
            </w:r>
          </w:p>
        </w:tc>
        <w:tc>
          <w:tcPr>
            <w:tcW w:type="dxa" w:w="4876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内容</w:t>
            </w:r>
          </w:p>
        </w:tc>
        <w:tc>
          <w:tcPr>
            <w:tcW w:type="dxa" w:w="1814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承認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第1版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87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制定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87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r>
        <w:br w:type="page"/>
      </w:r>
    </w:p>
    <w:p>
      <w:pPr>
        <w:pStyle w:val="Heading1"/>
      </w:pPr>
      <w:r>
        <w:t>別紙1　入力情報の区分一覧</w:t>
      </w:r>
    </w:p>
    <w:p>
      <w:r>
        <w:rPr>
          <w:b w:val="0"/>
          <w:color w:val="4A5568"/>
        </w:rPr>
        <w:t>※ 詳しい一覧は、AI-Ready.jp の「入力してはいけない情報の一覧」（Excel）を使って作ることもできます。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1587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区分</w:t>
            </w:r>
          </w:p>
        </w:tc>
        <w:tc>
          <w:tcPr>
            <w:tcW w:type="dxa" w:w="4649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情報の例</w:t>
            </w:r>
          </w:p>
        </w:tc>
        <w:tc>
          <w:tcPr>
            <w:tcW w:type="dxa" w:w="3175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判断の目安</w:t>
            </w:r>
          </w:p>
        </w:tc>
      </w:tr>
      <w:tr>
        <w:tc>
          <w:tcPr>
            <w:tcW w:type="dxa" w:w="158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入力してよい</w:t>
            </w:r>
          </w:p>
        </w:tc>
        <w:tc>
          <w:tcPr>
            <w:tcW w:type="dxa" w:w="464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公開済みの自社の案内文、一般的な文章の言い回しの相談、個人や取引先を含まない社内の手順の整理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承認済みツールであれば、条件なしで入力してよい</w:t>
            </w:r>
          </w:p>
        </w:tc>
      </w:tr>
      <w:tr>
        <w:tc>
          <w:tcPr>
            <w:tcW w:type="dxa" w:w="158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条件付き</w:t>
            </w:r>
          </w:p>
        </w:tc>
        <w:tc>
          <w:tcPr>
            <w:tcW w:type="dxa" w:w="464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社内会議のメモ、社内規程や業務マニュアル、個人が特定できないように加工した集計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承認済みツールに限る／名前などを除く／［　　　　］部の確認を得る</w:t>
            </w:r>
          </w:p>
        </w:tc>
      </w:tr>
      <w:tr>
        <w:tc>
          <w:tcPr>
            <w:tcW w:type="dxa" w:w="158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入力しない</w:t>
            </w:r>
          </w:p>
        </w:tc>
        <w:tc>
          <w:tcPr>
            <w:tcW w:type="dxa" w:w="464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お客様・取引先の個人情報、秘密保持契約で預かった他社の情報、未公表の決算・M&amp;A・人事・価格の情報、パスワードやアクセスキー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どのツールにも入力しない</w:t>
            </w:r>
          </w:p>
        </w:tc>
      </w:tr>
      <w:tr>
        <w:tc>
          <w:tcPr>
            <w:tcW w:type="dxa" w:w="158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4649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175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別紙2　承認済みツール一覧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70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ツール名</w:t>
            </w:r>
          </w:p>
        </w:tc>
        <w:tc>
          <w:tcPr>
            <w:tcW w:type="dxa" w:w="1814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契約の種類</w:t>
            </w:r>
          </w:p>
        </w:tc>
        <w:tc>
          <w:tcPr>
            <w:tcW w:type="dxa" w:w="3061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設定（学習への利用・保存期間など）</w:t>
            </w:r>
          </w:p>
        </w:tc>
        <w:tc>
          <w:tcPr>
            <w:tcW w:type="dxa" w:w="1417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管理者</w:t>
            </w:r>
          </w:p>
        </w:tc>
        <w:tc>
          <w:tcPr>
            <w:tcW w:type="dxa" w:w="1417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承認日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法人向け契約／個人向け契約</w:t>
            </w:r>
          </w:p>
        </w:tc>
        <w:tc>
          <w:tcPr>
            <w:tcW w:type="dxa" w:w="30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学習への利用：しない設定／保存期間：［　］日</w:t>
            </w:r>
          </w:p>
        </w:tc>
        <w:tc>
          <w:tcPr>
            <w:tcW w:type="dxa" w:w="141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41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0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41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41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814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3061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41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141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</w:tr>
    </w:tbl>
    <w:p/>
    <w:p>
      <w:pPr>
        <w:pStyle w:val="Heading1"/>
      </w:pPr>
      <w:r>
        <w:t>別紙3　生成物の確認チェック表</w:t>
      </w:r>
    </w:p>
    <w:p>
      <w:r>
        <w:rPr>
          <w:b w:val="0"/>
          <w:color w:val="4A5568"/>
        </w:rPr>
        <w:t>社外に出すもの、契約や判断に使うものは、次の項目を確かめてから使います。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567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</w:r>
          </w:p>
        </w:tc>
        <w:tc>
          <w:tcPr>
            <w:tcW w:type="dxa" w:w="6236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確認する項目</w:t>
            </w:r>
          </w:p>
        </w:tc>
        <w:tc>
          <w:tcPr>
            <w:tcW w:type="dxa" w:w="2608"/>
            <w:shd w:val="clear" w:color="auto" w:fill="E6F2EF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確認者・メモ</w:t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事実・数字・日付が、元の資料や公的な情報と合っている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固有名詞（会社名・人名・製品名・地名）に誤りがない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法令・制度の記載を、原典で確かめた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既存の作品と似ていないかを、検索などで確かめた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入力してはいけない情報、個人情報が含まれていない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相手がAIによるものと気づきにくい場面では、その旨を示している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取引先との契約の条件に沿っている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使ったツール・プロンプトの要旨・確認者を記録した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□</w:t>
            </w:r>
          </w:p>
        </w:tc>
        <w:tc>
          <w:tcPr>
            <w:tcW w:type="dxa" w:w="6236"/>
          </w:tcPr>
          <w:p>
            <w:pPr>
              <w:spacing w:after="4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［　　　　］</w:t>
            </w:r>
          </w:p>
        </w:tc>
        <w:tc>
          <w:tcPr>
            <w:tcW w:type="dxa" w:w="2608"/>
          </w:tcPr>
          <w:p>
            <w:pPr>
              <w:spacing w:after="40"/>
            </w:pPr>
            <w:r>
              <w:rPr>
                <w:sz w:val="21"/>
              </w:rPr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ゴシック">
    <w:panose1 w:val="020B0400000000000000"/>
    <w:charset w:val="8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568"/>
        <w:sz w:val="21"/>
      </w:rPr>
      <w:t>AI-Ready.jp（https://www.ai-ready.jp）のひな形｜自社の状況に合わせてご利用ください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hAnsi="游ゴシック" w:eastAsia="游ゴシック" w:cs="游ゴシック" w:hint="eastAsia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游ゴシック" w:hAnsi="游ゴシック" w:eastAsia="游ゴシック" w:cs="游ゴシック" w:hint="eastAsia"/>
      <w:color w:val="1323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游ゴシック" w:hAnsi="游ゴシック" w:eastAsia="游ゴシック" w:cs="游ゴシック" w:hint="eastAsia"/>
      <w:b/>
      <w:bCs/>
      <w:i w:val="0"/>
      <w:color w:val="13233A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游ゴシック" w:hAnsi="游ゴシック" w:eastAsia="游ゴシック" w:cs="游ゴシック" w:hint="eastAsia"/>
      <w:b/>
      <w:bCs/>
      <w:i w:val="0"/>
      <w:color w:val="13233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游ゴシック" w:hAnsi="游ゴシック" w:eastAsia="游ゴシック" w:cs="游ゴシック" w:hint="eastAsia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游ゴシック" w:hAnsi="游ゴシック" w:eastAsia="游ゴシック" w:cs="游ゴシック" w:hint="eastAsia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游ゴシック" w:hAnsi="游ゴシック" w:eastAsia="游ゴシック" w:cs="游ゴシック" w:hint="eastAsia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游ゴシック" w:hAnsi="游ゴシック" w:eastAsia="游ゴシック" w:cs="游ゴシック" w:hint="eastAsi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游ゴシック" w:hAnsi="游ゴシック" w:eastAsia="游ゴシック" w:cs="游ゴシック" w:hint="eastAsia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游ゴシック" w:hAnsi="游ゴシック" w:eastAsia="游ゴシック" w:cs="游ゴシック" w:hint="eastAsia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游ゴシック" w:hAnsi="游ゴシック" w:eastAsia="游ゴシック" w:cs="游ゴシック" w:hint="eastAsia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游ゴシック" w:hAnsi="游ゴシック" w:eastAsia="游ゴシック" w:cs="游ゴシック" w:hint="eastAsia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游ゴシック" w:hAnsi="游ゴシック" w:eastAsia="游ゴシック" w:cs="游ゴシック" w:hint="eastAsia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游ゴシック" w:hAnsi="游ゴシック" w:eastAsia="游ゴシック" w:cs="游ゴシック" w:hint="eastAsia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游ゴシック" w:hAnsi="游ゴシック" w:eastAsia="游ゴシック" w:cs="游ゴシック" w:hint="eastAsia"/>
      <w:b/>
      <w:i w:val="0"/>
      <w:color w:val="13233A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游ゴシック" w:hAnsi="游ゴシック" w:eastAsia="游ゴシック" w:cs="游ゴシック" w:hint="eastAsia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游ゴシック" w:hAnsi="游ゴシック" w:eastAsia="游ゴシック" w:cs="游ゴシック" w:hint="eastAsia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游ゴシック" w:hAnsi="游ゴシック" w:eastAsia="游ゴシック" w:cs="游ゴシック" w:hint="eastAsia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游ゴシック" w:hAnsi="游ゴシック" w:eastAsia="游ゴシック" w:cs="游ゴシック" w:hint="eastAsia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游ゴシック" w:hAnsi="游ゴシック" w:eastAsia="游ゴシック" w:cs="游ゴシック" w:hint="eastAsia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游ゴシック" w:hAnsi="游ゴシック" w:eastAsia="游ゴシック" w:cs="游ゴシック" w:hint="eastAsia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游ゴシック" w:hAnsi="游ゴシック" w:eastAsia="游ゴシック" w:cs="游ゴシック" w:hint="eastAsi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游ゴシック" w:hAnsi="游ゴシック" w:eastAsia="游ゴシック" w:cs="游ゴシック" w:hint="eastAsia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游ゴシック" w:hAnsi="游ゴシック" w:eastAsia="游ゴシック" w:cs="游ゴシック" w:hint="eastAsia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游ゴシック" w:hAnsi="游ゴシック" w:eastAsia="游ゴシック" w:cs="游ゴシック" w:hint="eastAsia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游ゴシック" w:hAnsi="游ゴシック" w:eastAsia="游ゴシック" w:cs="游ゴシック" w:hint="eastAsia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游ゴシック" w:hAnsi="游ゴシック" w:eastAsia="游ゴシック" w:cs="游ゴシック" w:hint="eastAsia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游ゴシック" w:hAnsi="游ゴシック" w:eastAsia="游ゴシック" w:cs="游ゴシック" w:hint="eastAsia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游ゴシック" w:hAnsi="游ゴシック" w:eastAsia="游ゴシック" w:cs="游ゴシック" w:hint="eastAsi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游ゴシック" w:hAnsi="游ゴシック" w:eastAsia="游ゴシック" w:cs="游ゴシック" w:hint="eastAsi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游ゴシック" w:hAnsi="游ゴシック" w:eastAsia="游ゴシック" w:cs="游ゴシック" w:hint="eastAsia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游ゴシック" w:hAnsi="游ゴシック" w:eastAsia="游ゴシック" w:cs="游ゴシック" w:hint="eastAsia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游ゴシック" w:hAnsi="游ゴシック" w:eastAsia="游ゴシック" w:cs="游ゴシック" w:hint="eastAsia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游ゴシック" w:hAnsi="游ゴシック" w:eastAsia="游ゴシック" w:cs="游ゴシック" w:hint="eastAsia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游ゴシック" w:hAnsi="游ゴシック" w:eastAsia="游ゴシック" w:cs="游ゴシック" w:hint="eastAsia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游ゴシック" w:hAnsi="游ゴシック" w:eastAsia="游ゴシック" w:cs="游ゴシック" w:hint="eastAsia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游ゴシック" w:hAnsi="游ゴシック" w:eastAsia="游ゴシック" w:cs="游ゴシック" w:hint="eastAsia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游ゴシック" w:hAnsi="游ゴシック" w:eastAsia="游ゴシック" w:cs="游ゴシック" w:hint="eastAsia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游ゴシック" w:hAnsi="游ゴシック" w:eastAsia="游ゴシック" w:cs="游ゴシック" w:hint="eastAsia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游ゴシック" w:hAnsi="游ゴシック" w:eastAsia="游ゴシック" w:cs="游ゴシック" w:hint="eastAsia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游ゴシック" w:hAnsi="游ゴシック" w:eastAsia="游ゴシック" w:cs="游ゴシック" w:hint="eastAsia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游ゴシック" w:hAnsi="游ゴシック" w:eastAsia="游ゴシック" w:cs="游ゴシック" w:hint="eastAsia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游ゴシック" w:hAnsi="游ゴシック" w:eastAsia="游ゴシック" w:cs="游ゴシック" w:hint="eastAsia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游ゴシック" w:hAnsi="游ゴシック" w:eastAsia="游ゴシック" w:cs="游ゴシック" w:hint="eastAsia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游ゴシック" w:hAnsi="游ゴシック" w:eastAsia="游ゴシック" w:cs="游ゴシック" w:hint="eastAsia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游ゴシック" w:hAnsi="游ゴシック" w:eastAsia="游ゴシック" w:cs="游ゴシック" w:hint="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游ゴシック"/>
        <a:ea typeface="游ゴシック"/>
        <a:cs typeface="游ゴシック"/>
      </a:majorFont>
      <a:minorFont>
        <a:latin typeface="游ゴシック"/>
        <a:ea typeface="游ゴシック"/>
        <a:cs typeface="游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生成AIの利用ルール（ひな形）</dc:title>
  <dc:subject>AI-Ready.jp のひな形</dc:subject>
  <dc:creator>フロレンティナ</dc:creator>
  <cp:keywords/>
  <dc:description>AI-Ready.jp（https://www.ai-ready.jp）のひな形｜自社の状況に合わせてご利用ください</dc:description>
  <cp:lastModifiedBy>フロレンティナ</cp:lastModifiedBy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