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PoC計画書</w:t>
      </w:r>
    </w:p>
    <w:p>
      <w:r>
        <w:rPr>
          <w:b w:val="0"/>
          <w:color w:val="4A5568"/>
        </w:rPr>
        <w:t>※ ［　　］を自社の内容に置き換えてください。始める前に1〜12を書き、決裁者と合意します。13はPoCが終わった後に書きます。</w:t>
      </w:r>
    </w:p>
    <w:p>
      <w:pPr>
        <w:pStyle w:val="Heading1"/>
      </w:pPr>
      <w:r>
        <w:t>1. 基本情報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blHeader w:val="true"/>
        </w:trPr>
        <w:tc>
          <w:tcPr>
            <w:tcW w:type="dxa" w:w="2721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項目</w:t>
            </w:r>
          </w:p>
        </w:tc>
        <w:tc>
          <w:tcPr>
            <w:tcW w:type="dxa" w:w="6690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記入欄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計画の名前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作成日・版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］年［　　　　］月［　　　　］日　第［　　　　］版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作成者（責任者）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会社・部署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］株式会社　［　　　　］部</w:t>
            </w:r>
          </w:p>
        </w:tc>
      </w:tr>
    </w:tbl>
    <w:p/>
    <w:p>
      <w:pPr>
        <w:pStyle w:val="Heading1"/>
      </w:pPr>
      <w:r>
        <w:t>2. 目的と確かめる問い</w:t>
      </w:r>
    </w:p>
    <w:p>
      <w:r>
        <w:rPr>
          <w:b w:val="0"/>
          <w:color w:val="4A5568"/>
        </w:rPr>
        <w:t>本番で使うかどうかを決めるために、何がわかればよいかを書きます。問いは1〜2個に絞ります。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blHeader w:val="true"/>
        </w:trPr>
        <w:tc>
          <w:tcPr>
            <w:tcW w:type="dxa" w:w="2721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項目</w:t>
            </w:r>
          </w:p>
        </w:tc>
        <w:tc>
          <w:tcPr>
            <w:tcW w:type="dxa" w:w="6690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記入欄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目的（一文で）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確かめる問い①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確かめる問い②（必要な場合）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問いの種類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□ 役に立つか　□ 使えるか　□ 続けられるか</w:t>
            </w:r>
          </w:p>
        </w:tc>
      </w:tr>
    </w:tbl>
    <w:p/>
    <w:p>
      <w:pPr>
        <w:pStyle w:val="Heading1"/>
      </w:pPr>
      <w:r>
        <w:t>3. 範囲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blHeader w:val="true"/>
        </w:trPr>
        <w:tc>
          <w:tcPr>
            <w:tcW w:type="dxa" w:w="2721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項目</w:t>
            </w:r>
          </w:p>
        </w:tc>
        <w:tc>
          <w:tcPr>
            <w:tcW w:type="dxa" w:w="6690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記入欄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対象の業務・作業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対象の部署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利用者（人数）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］名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使うデータ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使うツール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範囲に含めないこと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社内の利用ルールとの照らし合わせ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□ 確かめた（確認者：［　　］）　扱う情報の区分：［　　］</w:t>
            </w:r>
          </w:p>
        </w:tc>
      </w:tr>
    </w:tbl>
    <w:p/>
    <w:p>
      <w:pPr>
        <w:pStyle w:val="Heading1"/>
      </w:pPr>
      <w:r>
        <w:t>4. 期間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blHeader w:val="true"/>
        </w:trPr>
        <w:tc>
          <w:tcPr>
            <w:tcW w:type="dxa" w:w="2721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項目</w:t>
            </w:r>
          </w:p>
        </w:tc>
        <w:tc>
          <w:tcPr>
            <w:tcW w:type="dxa" w:w="6690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記入欄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準備（データの用意・アカウントの設定）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］〜［　　　　］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試行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］〜［　　　　］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振り返り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］〜［　　　　］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中間の確認日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</w:tbl>
    <w:p/>
    <w:p>
      <w:pPr>
        <w:pStyle w:val="Heading1"/>
      </w:pPr>
      <w:r>
        <w:t>5. 体制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2268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役割</w:t>
            </w:r>
          </w:p>
        </w:tc>
        <w:tc>
          <w:tcPr>
            <w:tcW w:type="dxa" w:w="2835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名前・部署</w:t>
            </w:r>
          </w:p>
        </w:tc>
        <w:tc>
          <w:tcPr>
            <w:tcW w:type="dxa" w:w="4309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やること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決裁者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4309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結果を見て、本番へ進むか止めるかを決める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責任者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4309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PoCの進行と記録をまとめる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現場の利用者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4309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実際に使って、使い勝手や効果を記録する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技術の担当（社外を含む）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4309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設定やデータの準備、セキュリティの確認を行う</w:t>
            </w:r>
          </w:p>
        </w:tc>
      </w:tr>
    </w:tbl>
    <w:p/>
    <w:p>
      <w:pPr>
        <w:pStyle w:val="Heading1"/>
      </w:pPr>
      <w:r>
        <w:t>6. 基準値（PoCの前のいまの値）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2608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指標</w:t>
            </w:r>
          </w:p>
        </w:tc>
        <w:tc>
          <w:tcPr>
            <w:tcW w:type="dxa" w:w="1474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単位</w:t>
            </w:r>
          </w:p>
        </w:tc>
        <w:tc>
          <w:tcPr>
            <w:tcW w:type="dxa" w:w="1701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いまの値</w:t>
            </w:r>
          </w:p>
        </w:tc>
        <w:tc>
          <w:tcPr>
            <w:tcW w:type="dxa" w:w="3628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測り方・測った期間</w:t>
            </w:r>
          </w:p>
        </w:tc>
      </w:tr>
      <w:tr>
        <w:tc>
          <w:tcPr>
            <w:tcW w:type="dxa" w:w="260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362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60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362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</w:tbl>
    <w:p/>
    <w:p>
      <w:pPr>
        <w:pStyle w:val="Heading1"/>
      </w:pPr>
      <w:r>
        <w:t>7. 成功の条件</w:t>
      </w:r>
    </w:p>
    <w:p>
      <w:r>
        <w:rPr>
          <w:b w:val="0"/>
          <w:color w:val="4A5568"/>
        </w:rPr>
        <w:t>数字で測れるものと、状態で確かめるものの両方で、3〜5個に絞ります。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rPr>
          <w:tblHeader w:val="true"/>
        </w:trPr>
        <w:tc>
          <w:tcPr>
            <w:tcW w:type="dxa" w:w="794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番号</w:t>
            </w:r>
          </w:p>
        </w:tc>
        <w:tc>
          <w:tcPr>
            <w:tcW w:type="dxa" w:w="3515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条件</w:t>
            </w:r>
          </w:p>
        </w:tc>
        <w:tc>
          <w:tcPr>
            <w:tcW w:type="dxa" w:w="1361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数字／状態</w:t>
            </w:r>
          </w:p>
        </w:tc>
        <w:tc>
          <w:tcPr>
            <w:tcW w:type="dxa" w:w="1701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必須／あるとよい</w:t>
            </w:r>
          </w:p>
        </w:tc>
        <w:tc>
          <w:tcPr>
            <w:tcW w:type="dxa" w:w="2041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測り方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1</w:t>
            </w:r>
          </w:p>
        </w:tc>
        <w:tc>
          <w:tcPr>
            <w:tcW w:type="dxa" w:w="351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36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数字</w:t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必須</w:t>
            </w:r>
          </w:p>
        </w:tc>
        <w:tc>
          <w:tcPr>
            <w:tcW w:type="dxa" w:w="204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2</w:t>
            </w:r>
          </w:p>
        </w:tc>
        <w:tc>
          <w:tcPr>
            <w:tcW w:type="dxa" w:w="351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36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数字</w:t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204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3</w:t>
            </w:r>
          </w:p>
        </w:tc>
        <w:tc>
          <w:tcPr>
            <w:tcW w:type="dxa" w:w="351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36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状態</w:t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204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4</w:t>
            </w:r>
          </w:p>
        </w:tc>
        <w:tc>
          <w:tcPr>
            <w:tcW w:type="dxa" w:w="351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36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204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5</w:t>
            </w:r>
          </w:p>
        </w:tc>
        <w:tc>
          <w:tcPr>
            <w:tcW w:type="dxa" w:w="351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36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204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</w:tbl>
    <w:p/>
    <w:p>
      <w:pPr>
        <w:pStyle w:val="Heading1"/>
      </w:pPr>
      <w:r>
        <w:t>8. 撤退の条件</w:t>
      </w:r>
    </w:p>
    <w:p>
      <w:r>
        <w:rPr>
          <w:b w:val="0"/>
          <w:color w:val="4A5568"/>
        </w:rPr>
        <w:t>ここまで来たら止める、または方向を変える合図です。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794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番号</w:t>
            </w:r>
          </w:p>
        </w:tc>
        <w:tc>
          <w:tcPr>
            <w:tcW w:type="dxa" w:w="6350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条件</w:t>
            </w:r>
          </w:p>
        </w:tc>
        <w:tc>
          <w:tcPr>
            <w:tcW w:type="dxa" w:w="2268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確かめる時期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1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226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中間の確認日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2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226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3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226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blHeader w:val="true"/>
        </w:trPr>
        <w:tc>
          <w:tcPr>
            <w:tcW w:type="dxa" w:w="2721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項目</w:t>
            </w:r>
          </w:p>
        </w:tc>
        <w:tc>
          <w:tcPr>
            <w:tcW w:type="dxa" w:w="6690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記入欄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延長する場合の回数の上限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］回まで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延長を決める人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</w:tbl>
    <w:p/>
    <w:p>
      <w:pPr>
        <w:pStyle w:val="Heading1"/>
      </w:pPr>
      <w:r>
        <w:t>9. 費用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2268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項目</w:t>
            </w:r>
          </w:p>
        </w:tc>
        <w:tc>
          <w:tcPr>
            <w:tcW w:type="dxa" w:w="2835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PoCの期間</w:t>
            </w:r>
          </w:p>
        </w:tc>
        <w:tc>
          <w:tcPr>
            <w:tcW w:type="dxa" w:w="4309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本番で使う場合の見込み（月あたり・年あたり）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利用料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4309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開発・設定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4309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教育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4309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社内の作業時間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4309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その他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4309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合計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4309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</w:tbl>
    <w:p/>
    <w:p>
      <w:pPr>
        <w:pStyle w:val="Heading1"/>
      </w:pPr>
      <w:r>
        <w:t>10. リスクと対策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2948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リスク</w:t>
            </w:r>
          </w:p>
        </w:tc>
        <w:tc>
          <w:tcPr>
            <w:tcW w:type="dxa" w:w="2154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起きたときの影響</w:t>
            </w:r>
          </w:p>
        </w:tc>
        <w:tc>
          <w:tcPr>
            <w:tcW w:type="dxa" w:w="2948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対策</w:t>
            </w:r>
          </w:p>
        </w:tc>
        <w:tc>
          <w:tcPr>
            <w:tcW w:type="dxa" w:w="1361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担当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情報の扱い（入力してはいけない情報が混ざる）</w:t>
            </w:r>
          </w:p>
        </w:tc>
        <w:tc>
          <w:tcPr>
            <w:tcW w:type="dxa" w:w="215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294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36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誤った出力をそのまま使う</w:t>
            </w:r>
          </w:p>
        </w:tc>
        <w:tc>
          <w:tcPr>
            <w:tcW w:type="dxa" w:w="215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294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36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現場の負担が大きく、使われなくなる</w:t>
            </w:r>
          </w:p>
        </w:tc>
        <w:tc>
          <w:tcPr>
            <w:tcW w:type="dxa" w:w="215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294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36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215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294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36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</w:tbl>
    <w:p/>
    <w:p>
      <w:pPr>
        <w:pStyle w:val="Heading1"/>
      </w:pPr>
      <w:r>
        <w:t>11. 判断の日程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1701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場</w:t>
            </w:r>
          </w:p>
        </w:tc>
        <w:tc>
          <w:tcPr>
            <w:tcW w:type="dxa" w:w="1701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日付</w:t>
            </w:r>
          </w:p>
        </w:tc>
        <w:tc>
          <w:tcPr>
            <w:tcW w:type="dxa" w:w="2835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参加者</w:t>
            </w:r>
          </w:p>
        </w:tc>
        <w:tc>
          <w:tcPr>
            <w:tcW w:type="dxa" w:w="3175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決めること</w:t>
            </w:r>
          </w:p>
        </w:tc>
      </w:tr>
      <w:tr>
        <w:tc>
          <w:tcPr>
            <w:tcW w:type="dxa" w:w="170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中間の確認</w:t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317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続ける・進め方を直す・止める</w:t>
            </w:r>
          </w:p>
        </w:tc>
      </w:tr>
      <w:tr>
        <w:tc>
          <w:tcPr>
            <w:tcW w:type="dxa" w:w="170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最終の判断</w:t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317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進む・直して続ける・止める</w:t>
            </w:r>
          </w:p>
        </w:tc>
      </w:tr>
    </w:tbl>
    <w:p/>
    <w:p>
      <w:pPr>
        <w:pStyle w:val="Heading1"/>
      </w:pPr>
      <w:r>
        <w:t>12. 本番の見込み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blHeader w:val="true"/>
        </w:trPr>
        <w:tc>
          <w:tcPr>
            <w:tcW w:type="dxa" w:w="2721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項目</w:t>
            </w:r>
          </w:p>
        </w:tc>
        <w:tc>
          <w:tcPr>
            <w:tcW w:type="dxa" w:w="6690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記入欄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広げる範囲と順番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運用の体制（問い合わせ窓口・誤りが起きたときの手順）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データの更新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利用ルール・権限・記録（ログ）の扱い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</w:tbl>
    <w:p/>
    <w:p>
      <w:pPr>
        <w:pStyle w:val="Heading1"/>
      </w:pPr>
      <w:r>
        <w:t>13. 結果と判断（終了後に記入）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1928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条件</w:t>
            </w:r>
          </w:p>
        </w:tc>
        <w:tc>
          <w:tcPr>
            <w:tcW w:type="dxa" w:w="2494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結果</w:t>
            </w:r>
          </w:p>
        </w:tc>
        <w:tc>
          <w:tcPr>
            <w:tcW w:type="dxa" w:w="3175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根拠（数字・声）</w:t>
            </w:r>
          </w:p>
        </w:tc>
        <w:tc>
          <w:tcPr>
            <w:tcW w:type="dxa" w:w="1814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満たしたか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成功の条件1</w:t>
            </w:r>
          </w:p>
        </w:tc>
        <w:tc>
          <w:tcPr>
            <w:tcW w:type="dxa" w:w="249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317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81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□ はい　□ いいえ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成功の条件2</w:t>
            </w:r>
          </w:p>
        </w:tc>
        <w:tc>
          <w:tcPr>
            <w:tcW w:type="dxa" w:w="249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317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81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□ はい　□ いいえ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成功の条件3</w:t>
            </w:r>
          </w:p>
        </w:tc>
        <w:tc>
          <w:tcPr>
            <w:tcW w:type="dxa" w:w="249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317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81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□ はい　□ いいえ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撤退の条件</w:t>
            </w:r>
          </w:p>
        </w:tc>
        <w:tc>
          <w:tcPr>
            <w:tcW w:type="dxa" w:w="249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317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81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□ 当たった　□ 当たらない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blHeader w:val="true"/>
        </w:trPr>
        <w:tc>
          <w:tcPr>
            <w:tcW w:type="dxa" w:w="2721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項目</w:t>
            </w:r>
          </w:p>
        </w:tc>
        <w:tc>
          <w:tcPr>
            <w:tcW w:type="dxa" w:w="6690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記入欄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判断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□ 進む　□ 直して続ける　□ 止める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判断の理由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届かなかった理由の区分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□ AIの性能　□ データ　□ 進め方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学んだこと・次への引き継ぎ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272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判断日・決裁者</w:t>
            </w:r>
          </w:p>
        </w:tc>
        <w:tc>
          <w:tcPr>
            <w:tcW w:type="dxa" w:w="669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</w:tbl>
    <w:p/>
    <w:p>
      <w:pPr>
        <w:pStyle w:val="Heading1"/>
      </w:pPr>
      <w:r>
        <w:t>変更の記録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1587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日付</w:t>
            </w:r>
          </w:p>
        </w:tc>
        <w:tc>
          <w:tcPr>
            <w:tcW w:type="dxa" w:w="3288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変えた内容</w:t>
            </w:r>
          </w:p>
        </w:tc>
        <w:tc>
          <w:tcPr>
            <w:tcW w:type="dxa" w:w="2948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理由</w:t>
            </w:r>
          </w:p>
        </w:tc>
        <w:tc>
          <w:tcPr>
            <w:tcW w:type="dxa" w:w="1587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了承した人</w:t>
            </w:r>
          </w:p>
        </w:tc>
      </w:tr>
      <w:tr>
        <w:tc>
          <w:tcPr>
            <w:tcW w:type="dxa" w:w="158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328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294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58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158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328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2948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58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ゴシック">
    <w:panose1 w:val="020B0400000000000000"/>
    <w:charset w:val="80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568"/>
        <w:sz w:val="21"/>
      </w:rPr>
      <w:t>AI-Ready.jp（https://www.ai-ready.jp）のひな形｜自社の状況に合わせてご利用ください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hAnsi="游ゴシック" w:eastAsia="游ゴシック" w:cs="游ゴシック" w:hint="eastAsia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24" w:lineRule="auto"/>
    </w:pPr>
    <w:rPr>
      <w:rFonts w:ascii="游ゴシック" w:hAnsi="游ゴシック" w:eastAsia="游ゴシック" w:cs="游ゴシック" w:hint="eastAsia"/>
      <w:color w:val="1323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游ゴシック" w:hAnsi="游ゴシック" w:eastAsia="游ゴシック" w:cs="游ゴシック" w:hint="eastAs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游ゴシック" w:hAnsi="游ゴシック" w:eastAsia="游ゴシック" w:cs="游ゴシック" w:hint="eastAs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="游ゴシック" w:hAnsi="游ゴシック" w:eastAsia="游ゴシック" w:cs="游ゴシック" w:hint="eastAsia"/>
      <w:b/>
      <w:bCs/>
      <w:i w:val="0"/>
      <w:color w:val="13233A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游ゴシック" w:hAnsi="游ゴシック" w:eastAsia="游ゴシック" w:cs="游ゴシック" w:hint="eastAsia"/>
      <w:b/>
      <w:bCs/>
      <w:i w:val="0"/>
      <w:color w:val="13233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游ゴシック" w:hAnsi="游ゴシック" w:eastAsia="游ゴシック" w:cs="游ゴシック" w:hint="eastAsia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游ゴシック" w:hAnsi="游ゴシック" w:eastAsia="游ゴシック" w:cs="游ゴシック" w:hint="eastAsia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游ゴシック" w:hAnsi="游ゴシック" w:eastAsia="游ゴシック" w:cs="游ゴシック" w:hint="eastAsia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游ゴシック" w:hAnsi="游ゴシック" w:eastAsia="游ゴシック" w:cs="游ゴシック" w:hint="eastAsia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游ゴシック" w:hAnsi="游ゴシック" w:eastAsia="游ゴシック" w:cs="游ゴシック" w:hint="eastAsia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游ゴシック" w:hAnsi="游ゴシック" w:eastAsia="游ゴシック" w:cs="游ゴシック" w:hint="eastAsia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游ゴシック" w:hAnsi="游ゴシック" w:eastAsia="游ゴシック" w:cs="游ゴシック" w:hint="eastAsia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游ゴシック" w:hAnsi="游ゴシック" w:eastAsia="游ゴシック" w:cs="游ゴシック" w:hint="eastAsia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游ゴシック" w:hAnsi="游ゴシック" w:eastAsia="游ゴシック" w:cs="游ゴシック" w:hint="eastAsia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游ゴシック" w:hAnsi="游ゴシック" w:eastAsia="游ゴシック" w:cs="游ゴシック" w:hint="eastAsia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游ゴシック" w:hAnsi="游ゴシック" w:eastAsia="游ゴシック" w:cs="游ゴシック" w:hint="eastAsia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="游ゴシック" w:hAnsi="游ゴシック" w:eastAsia="游ゴシック" w:cs="游ゴシック" w:hint="eastAsia"/>
      <w:b/>
      <w:i w:val="0"/>
      <w:color w:val="13233A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游ゴシック" w:hAnsi="游ゴシック" w:eastAsia="游ゴシック" w:cs="游ゴシック" w:hint="eastAsia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游ゴシック" w:hAnsi="游ゴシック" w:eastAsia="游ゴシック" w:cs="游ゴシック" w:hint="eastAsia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游ゴシック" w:hAnsi="游ゴシック" w:eastAsia="游ゴシック" w:cs="游ゴシック" w:hint="eastAsia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游ゴシック" w:hAnsi="游ゴシック" w:eastAsia="游ゴシック" w:cs="游ゴシック" w:hint="eastAsia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游ゴシック" w:hAnsi="游ゴシック" w:eastAsia="游ゴシック" w:cs="游ゴシック" w:hint="eastAsia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游ゴシック" w:hAnsi="游ゴシック" w:eastAsia="游ゴシック" w:cs="游ゴシック" w:hint="eastAsia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游ゴシック" w:hAnsi="游ゴシック" w:eastAsia="游ゴシック" w:cs="游ゴシック" w:hint="eastAsi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游ゴシック" w:hAnsi="游ゴシック" w:eastAsia="游ゴシック" w:cs="游ゴシック" w:hint="eastAsia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游ゴシック" w:hAnsi="游ゴシック" w:eastAsia="游ゴシック" w:cs="游ゴシック" w:hint="eastAsia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游ゴシック" w:hAnsi="游ゴシック" w:eastAsia="游ゴシック" w:cs="游ゴシック" w:hint="eastAsia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游ゴシック" w:hAnsi="游ゴシック" w:eastAsia="游ゴシック" w:cs="游ゴシック" w:hint="eastAsia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游ゴシック" w:hAnsi="游ゴシック" w:eastAsia="游ゴシック" w:cs="游ゴシック" w:hint="eastAsia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游ゴシック" w:hAnsi="游ゴシック" w:eastAsia="游ゴシック" w:cs="游ゴシック" w:hint="eastAsia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游ゴシック" w:hAnsi="游ゴシック" w:eastAsia="游ゴシック" w:cs="游ゴシック" w:hint="eastAsia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游ゴシック" w:hAnsi="游ゴシック" w:eastAsia="游ゴシック" w:cs="游ゴシック" w:hint="eastAsi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游ゴシック" w:hAnsi="游ゴシック" w:eastAsia="游ゴシック" w:cs="游ゴシック" w:hint="eastAsia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游ゴシック" w:hAnsi="游ゴシック" w:eastAsia="游ゴシック" w:cs="游ゴシック" w:hint="eastAsia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游ゴシック" w:hAnsi="游ゴシック" w:eastAsia="游ゴシック" w:cs="游ゴシック" w:hint="eastAsia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游ゴシック" w:hAnsi="游ゴシック" w:eastAsia="游ゴシック" w:cs="游ゴシック" w:hint="eastAsia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游ゴシック" w:hAnsi="游ゴシック" w:eastAsia="游ゴシック" w:cs="游ゴシック" w:hint="eastAsia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游ゴシック" w:hAnsi="游ゴシック" w:eastAsia="游ゴシック" w:cs="游ゴシック" w:hint="eastAsia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游ゴシック" w:hAnsi="游ゴシック" w:eastAsia="游ゴシック" w:cs="游ゴシック" w:hint="eastAsia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游ゴシック" w:hAnsi="游ゴシック" w:eastAsia="游ゴシック" w:cs="游ゴシック" w:hint="eastAsia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游ゴシック" w:hAnsi="游ゴシック" w:eastAsia="游ゴシック" w:cs="游ゴシック" w:hint="eastAsia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游ゴシック" w:hAnsi="游ゴシック" w:eastAsia="游ゴシック" w:cs="游ゴシック" w:hint="eastAsia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游ゴシック" w:hAnsi="游ゴシック" w:eastAsia="游ゴシック" w:cs="游ゴシック" w:hint="eastAsia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游ゴシック" w:hAnsi="游ゴシック" w:eastAsia="游ゴシック" w:cs="游ゴシック" w:hint="eastAsia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游ゴシック" w:hAnsi="游ゴシック" w:eastAsia="游ゴシック" w:cs="游ゴシック" w:hint="eastAsia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游ゴシック" w:hAnsi="游ゴシック" w:eastAsia="游ゴシック" w:cs="游ゴシック" w:hint="eastAsia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游ゴシック" w:hAnsi="游ゴシック" w:eastAsia="游ゴシック" w:cs="游ゴシック" w:hint="eastAsia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游ゴシック" w:hAnsi="游ゴシック" w:eastAsia="游ゴシック" w:cs="游ゴシック" w:hint="eastAsia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游ゴシック" w:hAnsi="游ゴシック" w:eastAsia="游ゴシック" w:cs="游ゴシック" w:hint="eastAsia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游ゴシック" w:hAnsi="游ゴシック" w:eastAsia="游ゴシック" w:cs="游ゴシック" w:hint="eastAsia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游ゴシック" w:hAnsi="游ゴシック" w:eastAsia="游ゴシック" w:cs="游ゴシック" w:hint="eastAsia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游ゴシック" w:hAnsi="游ゴシック" w:eastAsia="游ゴシック" w:cs="游ゴシック" w:hint="eastAsia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游ゴシック" w:hAnsi="游ゴシック" w:eastAsia="游ゴシック" w:cs="游ゴシック" w:hint="eastAsia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游ゴシック" w:hAnsi="游ゴシック" w:eastAsia="游ゴシック" w:cs="游ゴシック" w:hint="eastAsia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游ゴシック" w:hAnsi="游ゴシック" w:eastAsia="游ゴシック" w:cs="游ゴシック" w:hint="eastAsia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游ゴシック" w:hAnsi="游ゴシック" w:eastAsia="游ゴシック" w:cs="游ゴシック" w:hint="eastAsia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游ゴシック" w:hAnsi="游ゴシック" w:eastAsia="游ゴシック" w:cs="游ゴシック" w:hint="eastAsia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游ゴシック" w:hAnsi="游ゴシック" w:eastAsia="游ゴシック" w:cs="游ゴシック" w:hint="eastAsia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游ゴシック" w:hAnsi="游ゴシック" w:eastAsia="游ゴシック" w:cs="游ゴシック" w:hint="eastAsia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游ゴシック" w:hAnsi="游ゴシック" w:eastAsia="游ゴシック" w:cs="游ゴシック" w:hint="eastAsia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游ゴシック" w:hAnsi="游ゴシック" w:eastAsia="游ゴシック" w:cs="游ゴシック" w:hint="eastAsia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游ゴシック" w:hAnsi="游ゴシック" w:eastAsia="游ゴシック" w:cs="游ゴシック" w:hint="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游ゴシック" w:hAnsi="游ゴシック" w:eastAsia="游ゴシック" w:cs="游ゴシック" w:hint="eastAsia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游ゴシック" w:hAnsi="游ゴシック" w:eastAsia="游ゴシック" w:cs="游ゴシック" w:hint="eastAsia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游ゴシック"/>
        <a:ea typeface="游ゴシック"/>
        <a:cs typeface="游ゴシック"/>
      </a:majorFont>
      <a:minorFont>
        <a:latin typeface="游ゴシック"/>
        <a:ea typeface="游ゴシック"/>
        <a:cs typeface="游ゴシック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PoC計画書</dc:title>
  <dc:subject>AI-Ready.jp のひな形</dc:subject>
  <dc:creator>フロレンティナ</dc:creator>
  <cp:keywords/>
  <dc:description>AI-Ready.jp（https://www.ai-ready.jp）のひな形｜自社の状況に合わせてご利用ください</dc:description>
  <cp:lastModifiedBy>フロレンティナ</cp:lastModifiedBy>
  <cp:revision>1</cp:revision>
  <dcterms:created xsi:type="dcterms:W3CDTF">2013-12-23T23:15:00Z</dcterms:created>
  <dcterms:modified xsi:type="dcterms:W3CDTF">2013-12-23T23:15:00Z</dcterms:modified>
  <cp:category/>
  <dc:language>ja-JP</dc:language>
</cp:coreProperties>
</file>